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</w:t>
            </w:r>
            <w:r w:rsidR="00C46400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,</w:t>
            </w: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DA6C76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Elektronska 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DA6C76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 12. 2025. (ponedjeljak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Portemer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Dolores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58"/>
        <w:gridCol w:w="7400"/>
      </w:tblGrid>
      <w:tr w:rsidR="00E94B0E" w:rsidRPr="00E17014" w:rsidTr="00651586">
        <w:trPr>
          <w:trHeight w:val="1525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00" w:type="dxa"/>
          </w:tcPr>
          <w:p w:rsidR="003B703A" w:rsidRDefault="003B703A" w:rsidP="003B703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9. sjednice Školskog odbora.</w:t>
            </w:r>
          </w:p>
          <w:p w:rsidR="003B703A" w:rsidRDefault="003B703A" w:rsidP="003B703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2. </w:t>
            </w:r>
            <w:r w:rsidRPr="00BC4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Donošenje odluke o prihvaćanju Financijskog plana za 2026. i projekcije 2027.-2028.</w:t>
            </w:r>
          </w:p>
          <w:p w:rsidR="003B703A" w:rsidRDefault="003B703A" w:rsidP="003B703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 Dopuna Plana nabave za 2025. godinu, suglasnost traži se</w:t>
            </w:r>
          </w:p>
          <w:p w:rsidR="00E94B0E" w:rsidRPr="00E17014" w:rsidRDefault="00E94B0E" w:rsidP="002D3B6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iCs/>
                <w:color w:val="000000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3"/>
      </w:tblGrid>
      <w:tr w:rsidR="00E94B0E" w:rsidRPr="00E17014" w:rsidTr="00651586">
        <w:trPr>
          <w:trHeight w:val="454"/>
        </w:trPr>
        <w:tc>
          <w:tcPr>
            <w:tcW w:w="9483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717"/>
        <w:gridCol w:w="2067"/>
        <w:gridCol w:w="294"/>
        <w:gridCol w:w="1652"/>
      </w:tblGrid>
      <w:tr w:rsidR="00E94B0E" w:rsidRPr="00E17014" w:rsidTr="00651586"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651586">
        <w:trPr>
          <w:trHeight w:val="1080"/>
        </w:trPr>
        <w:tc>
          <w:tcPr>
            <w:tcW w:w="9493" w:type="dxa"/>
            <w:gridSpan w:val="5"/>
            <w:shd w:val="clear" w:color="auto" w:fill="auto"/>
          </w:tcPr>
          <w:p w:rsidR="00E94B0E" w:rsidRPr="003E0273" w:rsidRDefault="00E94B0E" w:rsidP="006515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701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Točku 1. dnevnog reda dostavom zapisnika s prethodne sjednice Školskog odbora članovi odbora očitovali su se na sljedeći način: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C95B46">
              <w:rPr>
                <w:rFonts w:ascii="Times New Roman" w:eastAsia="Times New Roman" w:hAnsi="Times New Roman" w:cs="Times New Roman"/>
                <w:color w:val="000000"/>
              </w:rPr>
              <w:t>Portemer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C95B46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2D3B6C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 xml:space="preserve"> 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Marino </w:t>
            </w:r>
            <w:proofErr w:type="spellStart"/>
            <w:r w:rsidR="001E2B49">
              <w:rPr>
                <w:rFonts w:ascii="Times New Roman" w:eastAsia="Times New Roman" w:hAnsi="Times New Roman" w:cs="Times New Roman"/>
                <w:color w:val="000000"/>
              </w:rPr>
              <w:t>Mance</w:t>
            </w:r>
            <w:proofErr w:type="spellEnd"/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 glasa ZA odnosno</w:t>
            </w:r>
            <w:r w:rsidR="001E2B49">
              <w:rPr>
                <w:rFonts w:ascii="Times New Roman" w:hAnsi="Times New Roman" w:cs="Times New Roman"/>
              </w:rPr>
              <w:t xml:space="preserve"> verificira</w:t>
            </w:r>
            <w:r w:rsidRPr="001E2B49">
              <w:rPr>
                <w:rFonts w:ascii="Times New Roman" w:hAnsi="Times New Roman" w:cs="Times New Roman"/>
              </w:rPr>
              <w:t xml:space="preserve"> zapisnik</w:t>
            </w:r>
            <w:r w:rsidR="001E2B49">
              <w:rPr>
                <w:rFonts w:ascii="Times New Roman" w:hAnsi="Times New Roman" w:cs="Times New Roman"/>
              </w:rPr>
              <w:t xml:space="preserve"> s prethodne</w:t>
            </w:r>
            <w:r w:rsidR="00D53599">
              <w:rPr>
                <w:rFonts w:ascii="Times New Roman" w:hAnsi="Times New Roman" w:cs="Times New Roman"/>
              </w:rPr>
              <w:t xml:space="preserve"> </w:t>
            </w:r>
            <w:r w:rsidRPr="003E0273">
              <w:rPr>
                <w:rFonts w:ascii="Times New Roman" w:hAnsi="Times New Roman" w:cs="Times New Roman"/>
              </w:rPr>
              <w:t>sjednice Školskog odbora,</w:t>
            </w:r>
            <w:r w:rsidR="00C95B46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C95B46">
              <w:rPr>
                <w:rFonts w:ascii="Times New Roman" w:hAnsi="Times New Roman" w:cs="Times New Roman"/>
              </w:rPr>
              <w:t>Bajraktaraj</w:t>
            </w:r>
            <w:proofErr w:type="spellEnd"/>
            <w:r w:rsidR="00D53599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Pr="003E0273">
              <w:rPr>
                <w:rFonts w:ascii="Times New Roman" w:hAnsi="Times New Roman" w:cs="Times New Roman"/>
              </w:rPr>
              <w:t xml:space="preserve"> zap</w:t>
            </w:r>
            <w:r w:rsidR="00BA683D">
              <w:rPr>
                <w:rFonts w:ascii="Times New Roman" w:hAnsi="Times New Roman" w:cs="Times New Roman"/>
              </w:rPr>
              <w:t>isnik</w:t>
            </w:r>
            <w:r w:rsidR="00122D1C">
              <w:rPr>
                <w:rFonts w:ascii="Times New Roman" w:hAnsi="Times New Roman" w:cs="Times New Roman"/>
              </w:rPr>
              <w:t>a</w:t>
            </w:r>
            <w:r w:rsidR="00BA683D">
              <w:rPr>
                <w:rFonts w:ascii="Times New Roman" w:hAnsi="Times New Roman" w:cs="Times New Roman"/>
              </w:rPr>
              <w:t xml:space="preserve"> s prethodne</w:t>
            </w:r>
            <w:r w:rsidR="00D53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sjednice Školskog odbora</w:t>
            </w:r>
            <w:r w:rsidR="00C95B46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0273">
              <w:rPr>
                <w:rFonts w:ascii="Times New Roman" w:hAnsi="Times New Roman" w:cs="Times New Roman"/>
                <w:color w:val="000000"/>
              </w:rPr>
              <w:t>Dnevni red je jednoglasno usvojen, te postoji kvorum za odlučivanje</w:t>
            </w:r>
            <w:r w:rsidRPr="00137BE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94B0E" w:rsidRPr="00E17014" w:rsidTr="00651586">
        <w:tc>
          <w:tcPr>
            <w:tcW w:w="5480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65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651586">
        <w:trPr>
          <w:trHeight w:val="555"/>
        </w:trPr>
        <w:tc>
          <w:tcPr>
            <w:tcW w:w="5480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članova verificira zapisnik s </w:t>
            </w:r>
            <w:r w:rsidR="003B70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651586">
        <w:trPr>
          <w:trHeight w:val="225"/>
        </w:trPr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651586">
        <w:trPr>
          <w:trHeight w:val="1981"/>
        </w:trPr>
        <w:tc>
          <w:tcPr>
            <w:tcW w:w="9493" w:type="dxa"/>
            <w:gridSpan w:val="5"/>
            <w:shd w:val="clear" w:color="auto" w:fill="auto"/>
          </w:tcPr>
          <w:p w:rsidR="00E94B0E" w:rsidRPr="00E50864" w:rsidRDefault="002D3B6C" w:rsidP="00E50864">
            <w:pPr>
              <w:spacing w:after="0" w:line="240" w:lineRule="auto"/>
              <w:ind w:left="164" w:right="31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lastRenderedPageBreak/>
              <w:t>Za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2. </w:t>
            </w:r>
            <w:proofErr w:type="spellStart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članovi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odbora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glasovali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su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slijedeći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način</w:t>
            </w:r>
            <w:proofErr w:type="spellEnd"/>
            <w:r w:rsidR="007150E6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:</w:t>
            </w:r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0367D4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Irena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Portemer</w:t>
            </w:r>
            <w:proofErr w:type="spellEnd"/>
            <w:r w:rsidR="0033317F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glasuje za donošenje odluke o 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prihvaćanju Financijskog plana za 2026. i projekcije 2027.-2028.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Dolores </w:t>
            </w:r>
            <w:proofErr w:type="spell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Huš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glasuje za 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donošenje odluke o 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prihvaćanju Financijskog plana za 2026. i projekcije 2027.-2028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Jadranka Čop </w:t>
            </w:r>
            <w:proofErr w:type="spell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Bajraktaraj</w:t>
            </w:r>
            <w:proofErr w:type="spellEnd"/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glasuje z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 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donošenje odluke o 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prihvaćanju Financijskog plana za 2026. i projekcije 2027.-2028</w:t>
            </w:r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Marino </w:t>
            </w:r>
            <w:proofErr w:type="spellStart"/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Mance</w:t>
            </w:r>
            <w:proofErr w:type="spellEnd"/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glasa za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E508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donošenje odluke o 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prihvaćanju Financijskog plana za 2026. i projekcije 2027.-2028</w:t>
            </w:r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r w:rsid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96723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E94B0E" w:rsidRPr="00450CF5" w:rsidRDefault="00E94B0E" w:rsidP="002D3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B0E" w:rsidRPr="00E17014" w:rsidTr="00651586">
        <w:trPr>
          <w:trHeight w:val="70"/>
        </w:trPr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FE0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4B0E" w:rsidRPr="00E17014" w:rsidTr="00651586">
        <w:trPr>
          <w:trHeight w:val="210"/>
        </w:trPr>
        <w:tc>
          <w:tcPr>
            <w:tcW w:w="476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946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651586">
        <w:trPr>
          <w:trHeight w:val="1272"/>
        </w:trPr>
        <w:tc>
          <w:tcPr>
            <w:tcW w:w="4763" w:type="dxa"/>
            <w:shd w:val="clear" w:color="auto" w:fill="auto"/>
          </w:tcPr>
          <w:p w:rsidR="00E94B0E" w:rsidRPr="00E0625B" w:rsidRDefault="0036412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5086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odluku</w:t>
            </w:r>
            <w:proofErr w:type="spellEnd"/>
            <w:r w:rsidR="00E5086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 w:rsidR="00E5086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prihvaćanju</w:t>
            </w:r>
            <w:proofErr w:type="spellEnd"/>
            <w:r w:rsidR="00E5086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Financijskog plana za 2026. i projekcije 2027.-2028.</w:t>
            </w:r>
            <w:r w:rsidR="00E50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godine.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84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D65C81" w:rsidRPr="00E17014" w:rsidTr="00A108AA">
        <w:trPr>
          <w:trHeight w:val="225"/>
        </w:trPr>
        <w:tc>
          <w:tcPr>
            <w:tcW w:w="9493" w:type="dxa"/>
            <w:gridSpan w:val="5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D65C81" w:rsidRPr="00450CF5" w:rsidTr="00A108AA">
        <w:trPr>
          <w:trHeight w:val="1981"/>
        </w:trPr>
        <w:tc>
          <w:tcPr>
            <w:tcW w:w="9493" w:type="dxa"/>
            <w:gridSpan w:val="5"/>
            <w:shd w:val="clear" w:color="auto" w:fill="auto"/>
          </w:tcPr>
          <w:p w:rsidR="009D6ED9" w:rsidRPr="00250350" w:rsidRDefault="007150E6" w:rsidP="009D6ED9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Za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3.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članovi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odbora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glasovali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su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slijedeći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način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:</w:t>
            </w:r>
            <w:r w:rsidR="00D33303" w:rsidRPr="002503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C5BD5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Irena </w:t>
            </w:r>
            <w:proofErr w:type="spellStart"/>
            <w:r w:rsidR="00BC5BD5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Portemer</w:t>
            </w:r>
            <w:proofErr w:type="spellEnd"/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daje suglasnost za dopunom Plana nabave za 2025. godinu, Dolores </w:t>
            </w:r>
            <w:proofErr w:type="spellStart"/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Huš</w:t>
            </w:r>
            <w:proofErr w:type="spellEnd"/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daje suglasnost za dopunom Plana nabave za 2025. godinu,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Jadranka Čop </w:t>
            </w:r>
            <w:proofErr w:type="spellStart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Bajraktar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aj</w:t>
            </w:r>
            <w:proofErr w:type="spellEnd"/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daje suglasnost za dopunom Plana nabave za 2025. godinu,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Marino </w:t>
            </w:r>
            <w:proofErr w:type="spellStart"/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Mance</w:t>
            </w:r>
            <w:proofErr w:type="spellEnd"/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daje suglasnost za dopun</w:t>
            </w:r>
            <w:r w:rsidR="00BF55F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om Plana nabave za 2025. godinu.</w:t>
            </w:r>
            <w:r w:rsidR="00652B1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Navedeni Plan nabave za 2025. godinu dopunjuje se stavkama nabave lož ulja za potrebe grijanja škole i prehrane produženog boravka za 2026. godinu s obzirom da su postupci nabave završeni u 2025. godini te se dopunjuju u Plan nabave za 2025. godinu.</w:t>
            </w:r>
          </w:p>
          <w:p w:rsidR="00D65C81" w:rsidRDefault="00D65C81" w:rsidP="0071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367D4" w:rsidRPr="00BF2079" w:rsidRDefault="000367D4" w:rsidP="00BF5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5C81" w:rsidRPr="00E17014" w:rsidTr="00A108AA">
        <w:trPr>
          <w:trHeight w:val="70"/>
        </w:trPr>
        <w:tc>
          <w:tcPr>
            <w:tcW w:w="9493" w:type="dxa"/>
            <w:gridSpan w:val="5"/>
            <w:shd w:val="clear" w:color="auto" w:fill="auto"/>
          </w:tcPr>
          <w:p w:rsidR="00D65C81" w:rsidRPr="00E17014" w:rsidRDefault="00D65C81" w:rsidP="00A10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5C81" w:rsidRPr="00E17014" w:rsidTr="00A108AA">
        <w:trPr>
          <w:trHeight w:val="210"/>
        </w:trPr>
        <w:tc>
          <w:tcPr>
            <w:tcW w:w="4763" w:type="dxa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946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D65C81" w:rsidRPr="00E17014" w:rsidTr="00FE0EC0">
        <w:trPr>
          <w:trHeight w:val="831"/>
        </w:trPr>
        <w:tc>
          <w:tcPr>
            <w:tcW w:w="4763" w:type="dxa"/>
            <w:shd w:val="clear" w:color="auto" w:fill="auto"/>
          </w:tcPr>
          <w:p w:rsidR="00D65C81" w:rsidRPr="00FE0EC0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</w:t>
            </w:r>
            <w:r w:rsidR="0007172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prisutnih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daje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suglasnost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dopunom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plana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nabave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2025. </w:t>
            </w:r>
            <w:proofErr w:type="spellStart"/>
            <w:proofErr w:type="gramStart"/>
            <w:r w:rsidR="00652B1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odinu</w:t>
            </w:r>
            <w:proofErr w:type="spellEnd"/>
            <w:proofErr w:type="gramEnd"/>
            <w:r w:rsidR="00BF55F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</w:tbl>
    <w:p w:rsidR="00A11634" w:rsidRDefault="00A11634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8"/>
        <w:gridCol w:w="7315"/>
      </w:tblGrid>
      <w:tr w:rsidR="00E94B0E" w:rsidRPr="00E17014" w:rsidTr="00651586">
        <w:trPr>
          <w:trHeight w:val="567"/>
        </w:trPr>
        <w:tc>
          <w:tcPr>
            <w:tcW w:w="216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15" w:type="dxa"/>
            <w:vAlign w:val="center"/>
          </w:tcPr>
          <w:p w:rsidR="00E94B0E" w:rsidRPr="00E17014" w:rsidRDefault="000367D4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651586">
        <w:trPr>
          <w:trHeight w:val="567"/>
        </w:trPr>
        <w:tc>
          <w:tcPr>
            <w:tcW w:w="2168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15" w:type="dxa"/>
            <w:vAlign w:val="center"/>
          </w:tcPr>
          <w:p w:rsidR="00E94B0E" w:rsidRPr="00E17014" w:rsidRDefault="00A243F4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2112-3-2-01-25-54</w:t>
            </w:r>
            <w:bookmarkStart w:id="0" w:name="_GoBack"/>
            <w:bookmarkEnd w:id="0"/>
          </w:p>
        </w:tc>
      </w:tr>
    </w:tbl>
    <w:p w:rsidR="00E94B0E" w:rsidRDefault="00E94B0E" w:rsidP="00E94B0E"/>
    <w:p w:rsidR="00D80A58" w:rsidRDefault="00D80A58"/>
    <w:sectPr w:rsidR="00D8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53FE"/>
    <w:rsid w:val="00025738"/>
    <w:rsid w:val="000367D4"/>
    <w:rsid w:val="00071722"/>
    <w:rsid w:val="00090705"/>
    <w:rsid w:val="00104E34"/>
    <w:rsid w:val="001224B6"/>
    <w:rsid w:val="00122D1C"/>
    <w:rsid w:val="001626F0"/>
    <w:rsid w:val="00162A26"/>
    <w:rsid w:val="0019004C"/>
    <w:rsid w:val="001E2B49"/>
    <w:rsid w:val="00205474"/>
    <w:rsid w:val="00207E97"/>
    <w:rsid w:val="00212AF0"/>
    <w:rsid w:val="00250350"/>
    <w:rsid w:val="00256EE4"/>
    <w:rsid w:val="002D3B6C"/>
    <w:rsid w:val="0033317F"/>
    <w:rsid w:val="0036412E"/>
    <w:rsid w:val="003B703A"/>
    <w:rsid w:val="003D3AFB"/>
    <w:rsid w:val="00430E88"/>
    <w:rsid w:val="004C7797"/>
    <w:rsid w:val="005307BB"/>
    <w:rsid w:val="0053421F"/>
    <w:rsid w:val="005E7E15"/>
    <w:rsid w:val="00652B19"/>
    <w:rsid w:val="0069505D"/>
    <w:rsid w:val="007150E6"/>
    <w:rsid w:val="00732C15"/>
    <w:rsid w:val="007333E7"/>
    <w:rsid w:val="00772BA4"/>
    <w:rsid w:val="007A329A"/>
    <w:rsid w:val="007C1659"/>
    <w:rsid w:val="008213F1"/>
    <w:rsid w:val="008A4A5C"/>
    <w:rsid w:val="008F5749"/>
    <w:rsid w:val="00906A94"/>
    <w:rsid w:val="00915BA4"/>
    <w:rsid w:val="00967235"/>
    <w:rsid w:val="009D6ED9"/>
    <w:rsid w:val="00A01C79"/>
    <w:rsid w:val="00A06847"/>
    <w:rsid w:val="00A11634"/>
    <w:rsid w:val="00A243F4"/>
    <w:rsid w:val="00A63A73"/>
    <w:rsid w:val="00A85802"/>
    <w:rsid w:val="00B50BE7"/>
    <w:rsid w:val="00B92AA8"/>
    <w:rsid w:val="00BA683D"/>
    <w:rsid w:val="00BC5BD5"/>
    <w:rsid w:val="00BD083F"/>
    <w:rsid w:val="00BF2079"/>
    <w:rsid w:val="00BF55F6"/>
    <w:rsid w:val="00C002D7"/>
    <w:rsid w:val="00C46400"/>
    <w:rsid w:val="00C91717"/>
    <w:rsid w:val="00C95B46"/>
    <w:rsid w:val="00D33303"/>
    <w:rsid w:val="00D37DD6"/>
    <w:rsid w:val="00D53599"/>
    <w:rsid w:val="00D60F76"/>
    <w:rsid w:val="00D65C81"/>
    <w:rsid w:val="00D80A58"/>
    <w:rsid w:val="00D9040A"/>
    <w:rsid w:val="00D90D4C"/>
    <w:rsid w:val="00DA6C76"/>
    <w:rsid w:val="00DA7E4E"/>
    <w:rsid w:val="00DF20A0"/>
    <w:rsid w:val="00E34BF7"/>
    <w:rsid w:val="00E50864"/>
    <w:rsid w:val="00E54285"/>
    <w:rsid w:val="00E63F75"/>
    <w:rsid w:val="00E71E8A"/>
    <w:rsid w:val="00E932E6"/>
    <w:rsid w:val="00E94B0E"/>
    <w:rsid w:val="00ED1644"/>
    <w:rsid w:val="00EF4647"/>
    <w:rsid w:val="00F65497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E24E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78</cp:revision>
  <dcterms:created xsi:type="dcterms:W3CDTF">2022-02-25T06:23:00Z</dcterms:created>
  <dcterms:modified xsi:type="dcterms:W3CDTF">2025-12-21T18:02:00Z</dcterms:modified>
</cp:coreProperties>
</file>